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4185"/>
        </w:tabs>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ab/>
      </w:r>
    </w:p>
    <w:p w:rsidR="00000000" w:rsidDel="00000000" w:rsidP="00000000" w:rsidRDefault="00000000" w:rsidRPr="00000000" w14:paraId="00000002">
      <w:pPr>
        <w:jc w:val="center"/>
        <w:rPr>
          <w:rFonts w:ascii="Calibri" w:cs="Calibri" w:eastAsia="Calibri" w:hAnsi="Calibri"/>
          <w:u w:val="single"/>
        </w:rPr>
      </w:pPr>
      <w:r w:rsidDel="00000000" w:rsidR="00000000" w:rsidRPr="00000000">
        <w:rPr>
          <w:rFonts w:ascii="Calibri" w:cs="Calibri" w:eastAsia="Calibri" w:hAnsi="Calibri"/>
          <w:u w:val="single"/>
          <w:rtl w:val="0"/>
        </w:rPr>
        <w:t xml:space="preserve">COMUNICATO STAMPA</w:t>
      </w:r>
      <w:r w:rsidDel="00000000" w:rsidR="00000000" w:rsidRPr="00000000">
        <w:rPr>
          <w:rFonts w:ascii="Calibri" w:cs="Calibri" w:eastAsia="Calibri" w:hAnsi="Calibri"/>
          <w:b w:val="1"/>
          <w:sz w:val="36"/>
          <w:szCs w:val="36"/>
          <w:rtl w:val="0"/>
        </w:rPr>
        <w:br w:type="textWrapping"/>
      </w:r>
      <w:r w:rsidDel="00000000" w:rsidR="00000000" w:rsidRPr="00000000">
        <w:rPr>
          <w:rtl w:val="0"/>
        </w:rPr>
      </w:r>
    </w:p>
    <w:p w:rsidR="00000000" w:rsidDel="00000000" w:rsidP="00000000" w:rsidRDefault="00000000" w:rsidRPr="00000000" w14:paraId="00000003">
      <w:pPr>
        <w:jc w:val="center"/>
        <w:rPr>
          <w:rFonts w:ascii="Calibri" w:cs="Calibri" w:eastAsia="Calibri" w:hAnsi="Calibri"/>
          <w:b w:val="1"/>
          <w:sz w:val="32"/>
          <w:szCs w:val="32"/>
        </w:rPr>
      </w:pPr>
      <w:r w:rsidDel="00000000" w:rsidR="00000000" w:rsidRPr="00000000">
        <w:rPr>
          <w:rFonts w:ascii="Calibri" w:cs="Calibri" w:eastAsia="Calibri" w:hAnsi="Calibri"/>
          <w:b w:val="1"/>
          <w:sz w:val="32"/>
          <w:szCs w:val="32"/>
          <w:rtl w:val="0"/>
        </w:rPr>
        <w:t xml:space="preserve">OSSERVATORIO BERRY SEA: </w:t>
      </w:r>
    </w:p>
    <w:p w:rsidR="00000000" w:rsidDel="00000000" w:rsidP="00000000" w:rsidRDefault="00000000" w:rsidRPr="00000000" w14:paraId="00000004">
      <w:pPr>
        <w:jc w:val="center"/>
        <w:rPr>
          <w:rFonts w:ascii="Calibri" w:cs="Calibri" w:eastAsia="Calibri" w:hAnsi="Calibri"/>
          <w:b w:val="1"/>
          <w:sz w:val="32"/>
          <w:szCs w:val="32"/>
        </w:rPr>
      </w:pPr>
      <w:r w:rsidDel="00000000" w:rsidR="00000000" w:rsidRPr="00000000">
        <w:rPr>
          <w:rFonts w:ascii="Calibri" w:cs="Calibri" w:eastAsia="Calibri" w:hAnsi="Calibri"/>
          <w:b w:val="1"/>
          <w:sz w:val="32"/>
          <w:szCs w:val="32"/>
          <w:rtl w:val="0"/>
        </w:rPr>
        <w:t xml:space="preserve">IL 2024 REGISTRA UN AUMENTO DEL 15% NELLE ISCRIZIONI AI TRIBUNALI FALLIMENTARI E UN CALO DELL'8% NELLE PROCEDURE DEFINITE</w:t>
      </w:r>
    </w:p>
    <w:p w:rsidR="00000000" w:rsidDel="00000000" w:rsidP="00000000" w:rsidRDefault="00000000" w:rsidRPr="00000000" w14:paraId="00000005">
      <w:pPr>
        <w:jc w:val="center"/>
        <w:rPr>
          <w:rFonts w:ascii="Calibri" w:cs="Calibri" w:eastAsia="Calibri" w:hAnsi="Calibri"/>
          <w:i w:val="1"/>
        </w:rPr>
      </w:pPr>
      <w:r w:rsidDel="00000000" w:rsidR="00000000" w:rsidRPr="00000000">
        <w:rPr>
          <w:rFonts w:ascii="Calibri" w:cs="Calibri" w:eastAsia="Calibri" w:hAnsi="Calibri"/>
          <w:i w:val="1"/>
          <w:rtl w:val="0"/>
        </w:rPr>
        <w:t xml:space="preserve">Milano e Venezia ai vertici per efficienza</w:t>
      </w:r>
      <w:r w:rsidDel="00000000" w:rsidR="00000000" w:rsidRPr="00000000">
        <w:rPr>
          <w:rFonts w:ascii="Calibri" w:cs="Calibri" w:eastAsia="Calibri" w:hAnsi="Calibri"/>
          <w:b w:val="1"/>
          <w:i w:val="1"/>
          <w:rtl w:val="0"/>
        </w:rPr>
        <w:t xml:space="preserve">, </w:t>
      </w:r>
      <w:r w:rsidDel="00000000" w:rsidR="00000000" w:rsidRPr="00000000">
        <w:rPr>
          <w:rFonts w:ascii="Calibri" w:cs="Calibri" w:eastAsia="Calibri" w:hAnsi="Calibri"/>
          <w:i w:val="1"/>
          <w:rtl w:val="0"/>
        </w:rPr>
        <w:t xml:space="preserve">clearance rate</w:t>
      </w:r>
      <w:r w:rsidDel="00000000" w:rsidR="00000000" w:rsidRPr="00000000">
        <w:rPr>
          <w:rFonts w:ascii="Calibri" w:cs="Calibri" w:eastAsia="Calibri" w:hAnsi="Calibri"/>
          <w:i w:val="1"/>
          <w:sz w:val="16"/>
          <w:szCs w:val="16"/>
          <w:rtl w:val="0"/>
        </w:rPr>
        <w:t xml:space="preserve">* </w:t>
      </w:r>
      <w:r w:rsidDel="00000000" w:rsidR="00000000" w:rsidRPr="00000000">
        <w:rPr>
          <w:rFonts w:ascii="Calibri" w:cs="Calibri" w:eastAsia="Calibri" w:hAnsi="Calibri"/>
          <w:i w:val="1"/>
          <w:rtl w:val="0"/>
        </w:rPr>
        <w:t xml:space="preserve">al 46% sul territorio nazionale</w:t>
      </w:r>
    </w:p>
    <w:p w:rsidR="00000000" w:rsidDel="00000000" w:rsidP="00000000" w:rsidRDefault="00000000" w:rsidRPr="00000000" w14:paraId="00000006">
      <w:pPr>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007">
      <w:pPr>
        <w:jc w:val="both"/>
        <w:rPr>
          <w:rFonts w:ascii="Calibri" w:cs="Calibri" w:eastAsia="Calibri" w:hAnsi="Calibri"/>
        </w:rPr>
      </w:pPr>
      <w:r w:rsidDel="00000000" w:rsidR="00000000" w:rsidRPr="00000000">
        <w:rPr>
          <w:rFonts w:ascii="Calibri" w:cs="Calibri" w:eastAsia="Calibri" w:hAnsi="Calibri"/>
          <w:i w:val="1"/>
          <w:rtl w:val="0"/>
        </w:rPr>
        <w:t xml:space="preserve">Milano, 28 gennaio 2025 – </w:t>
      </w:r>
      <w:r w:rsidDel="00000000" w:rsidR="00000000" w:rsidRPr="00000000">
        <w:rPr>
          <w:rFonts w:ascii="Calibri" w:cs="Calibri" w:eastAsia="Calibri" w:hAnsi="Calibri"/>
          <w:b w:val="1"/>
          <w:rtl w:val="0"/>
        </w:rPr>
        <w:t xml:space="preserve">berry Sea</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rtl w:val="0"/>
        </w:rPr>
        <w:t xml:space="preserve">l’Osservatorio realizzato da </w:t>
      </w:r>
      <w:r w:rsidDel="00000000" w:rsidR="00000000" w:rsidRPr="00000000">
        <w:rPr>
          <w:rFonts w:ascii="Calibri" w:cs="Calibri" w:eastAsia="Calibri" w:hAnsi="Calibri"/>
          <w:b w:val="1"/>
          <w:highlight w:val="white"/>
          <w:rtl w:val="0"/>
        </w:rPr>
        <w:t xml:space="preserve">berry Srl</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rtl w:val="0"/>
        </w:rPr>
        <w:t xml:space="preserve">ha analizzato l’attività dei tribunali fallimentari nazionali nel periodo gennaio-dicembre 2024 con un focus sulle prime venti sezioni per volume di attività, che aprono oltre il 50% delle procedure di tutta Italia (140 tribunali), ovvero:</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rtl w:val="0"/>
        </w:rPr>
        <w:t xml:space="preserve">Bari, Bergamo, Bologna, Brescia, Busto Arsizio, Cagliari, Catania, Firenze, Genova, Milano, Modena, Monza, Napoli, Padova, Roma, Torino, Treviso, Venezia, Verona e Vicenza.</w:t>
      </w:r>
    </w:p>
    <w:p w:rsidR="00000000" w:rsidDel="00000000" w:rsidP="00000000" w:rsidRDefault="00000000" w:rsidRPr="00000000" w14:paraId="00000008">
      <w:pPr>
        <w:rPr>
          <w:rFonts w:ascii="Calibri" w:cs="Calibri" w:eastAsia="Calibri" w:hAnsi="Calibri"/>
        </w:rPr>
      </w:pPr>
      <w:r w:rsidDel="00000000" w:rsidR="00000000" w:rsidRPr="00000000">
        <w:rPr>
          <w:rFonts w:ascii="Calibri" w:cs="Calibri" w:eastAsia="Calibri" w:hAnsi="Calibri"/>
          <w:rtl w:val="0"/>
        </w:rPr>
        <w:t xml:space="preserve">L’analisi copre un ampio spettro di indicatori chiave, tra cui le performance dei tribunali, le variazioni regionali e mensili, oltre alla gestione dei casi pendenti.</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rFonts w:ascii="Calibri" w:cs="Calibri" w:eastAsia="Calibri" w:hAnsi="Calibri"/>
        </w:rPr>
      </w:pPr>
      <w:r w:rsidDel="00000000" w:rsidR="00000000" w:rsidRPr="00000000">
        <w:rPr>
          <w:rFonts w:ascii="Calibri" w:cs="Calibri" w:eastAsia="Calibri" w:hAnsi="Calibri"/>
          <w:b w:val="1"/>
          <w:rtl w:val="0"/>
        </w:rPr>
        <w:t xml:space="preserve">Punti salienti dell’osservatorio</w:t>
      </w:r>
      <w:r w:rsidDel="00000000" w:rsidR="00000000" w:rsidRPr="00000000">
        <w:rPr>
          <w:rFonts w:ascii="Calibri" w:cs="Calibri" w:eastAsia="Calibri" w:hAnsi="Calibri"/>
          <w:rtl w:val="0"/>
        </w:rPr>
        <w:t xml:space="preserve">:</w:t>
      </w:r>
    </w:p>
    <w:p w:rsidR="00000000" w:rsidDel="00000000" w:rsidP="00000000" w:rsidRDefault="00000000" w:rsidRPr="00000000" w14:paraId="0000000B">
      <w:pPr>
        <w:numPr>
          <w:ilvl w:val="0"/>
          <w:numId w:val="1"/>
        </w:numPr>
        <w:pBdr>
          <w:top w:space="0" w:sz="0" w:val="nil"/>
          <w:left w:space="0" w:sz="0" w:val="nil"/>
          <w:bottom w:space="0" w:sz="0" w:val="nil"/>
          <w:right w:space="0" w:sz="0" w:val="nil"/>
          <w:between w:space="0" w:sz="0" w:val="nil"/>
        </w:pBdr>
        <w:ind w:left="884" w:hanging="360"/>
        <w:rPr>
          <w:rFonts w:ascii="Calibri" w:cs="Calibri" w:eastAsia="Calibri" w:hAnsi="Calibri"/>
          <w:color w:val="000000"/>
        </w:rPr>
      </w:pPr>
      <w:r w:rsidDel="00000000" w:rsidR="00000000" w:rsidRPr="00000000">
        <w:rPr>
          <w:rFonts w:ascii="Calibri" w:cs="Calibri" w:eastAsia="Calibri" w:hAnsi="Calibri"/>
          <w:i w:val="1"/>
          <w:color w:val="000000"/>
          <w:rtl w:val="0"/>
        </w:rPr>
        <w:t xml:space="preserve">Le iscrizioni complessive</w:t>
      </w:r>
      <w:r w:rsidDel="00000000" w:rsidR="00000000" w:rsidRPr="00000000">
        <w:rPr>
          <w:rFonts w:ascii="Calibri" w:cs="Calibri" w:eastAsia="Calibri" w:hAnsi="Calibri"/>
          <w:color w:val="000000"/>
          <w:rtl w:val="0"/>
        </w:rPr>
        <w:t xml:space="preserve"> nei tribunali sono aumentate del 15%</w:t>
      </w:r>
      <w:r w:rsidDel="00000000" w:rsidR="00000000" w:rsidRPr="00000000">
        <w:rPr>
          <w:rtl w:val="0"/>
        </w:rPr>
        <w:t xml:space="preserve"> </w:t>
      </w:r>
      <w:r w:rsidDel="00000000" w:rsidR="00000000" w:rsidRPr="00000000">
        <w:rPr>
          <w:rFonts w:ascii="Calibri" w:cs="Calibri" w:eastAsia="Calibri" w:hAnsi="Calibri"/>
          <w:color w:val="000000"/>
          <w:rtl w:val="0"/>
        </w:rPr>
        <w:t xml:space="preserve">rispetto al 2023.</w:t>
      </w:r>
    </w:p>
    <w:p w:rsidR="00000000" w:rsidDel="00000000" w:rsidP="00000000" w:rsidRDefault="00000000" w:rsidRPr="00000000" w14:paraId="0000000C">
      <w:pPr>
        <w:numPr>
          <w:ilvl w:val="0"/>
          <w:numId w:val="1"/>
        </w:numPr>
        <w:pBdr>
          <w:top w:space="0" w:sz="0" w:val="nil"/>
          <w:left w:space="0" w:sz="0" w:val="nil"/>
          <w:bottom w:space="0" w:sz="0" w:val="nil"/>
          <w:right w:space="0" w:sz="0" w:val="nil"/>
          <w:between w:space="0" w:sz="0" w:val="nil"/>
        </w:pBdr>
        <w:ind w:left="884" w:hanging="360"/>
        <w:rPr>
          <w:rFonts w:ascii="Calibri" w:cs="Calibri" w:eastAsia="Calibri" w:hAnsi="Calibri"/>
          <w:color w:val="000000"/>
        </w:rPr>
      </w:pPr>
      <w:r w:rsidDel="00000000" w:rsidR="00000000" w:rsidRPr="00000000">
        <w:rPr>
          <w:rFonts w:ascii="Calibri" w:cs="Calibri" w:eastAsia="Calibri" w:hAnsi="Calibri"/>
          <w:i w:val="1"/>
          <w:color w:val="000000"/>
          <w:rtl w:val="0"/>
        </w:rPr>
        <w:t xml:space="preserve">Il tasso di clearance*</w:t>
      </w:r>
      <w:r w:rsidDel="00000000" w:rsidR="00000000" w:rsidRPr="00000000">
        <w:rPr>
          <w:rFonts w:ascii="Calibri" w:cs="Calibri" w:eastAsia="Calibri" w:hAnsi="Calibri"/>
          <w:color w:val="000000"/>
          <w:rtl w:val="0"/>
        </w:rPr>
        <w:t xml:space="preserve">, indicativo dell’efficienza nella gestione dei casi, ha raggiunto il 46% nella media nazionale, con picchi superiori all’80% in alcune sedi. Bari e Venezia</w:t>
      </w:r>
      <w:r w:rsidDel="00000000" w:rsidR="00000000" w:rsidRPr="00000000">
        <w:rPr>
          <w:rtl w:val="0"/>
        </w:rPr>
        <w:t xml:space="preserve"> </w:t>
      </w:r>
      <w:r w:rsidDel="00000000" w:rsidR="00000000" w:rsidRPr="00000000">
        <w:rPr>
          <w:rFonts w:ascii="Calibri" w:cs="Calibri" w:eastAsia="Calibri" w:hAnsi="Calibri"/>
          <w:color w:val="000000"/>
          <w:rtl w:val="0"/>
        </w:rPr>
        <w:t xml:space="preserve">si sono distinte per significativi miglioramenti rispetto all’anno precedente.</w:t>
      </w:r>
    </w:p>
    <w:p w:rsidR="00000000" w:rsidDel="00000000" w:rsidP="00000000" w:rsidRDefault="00000000" w:rsidRPr="00000000" w14:paraId="0000000D">
      <w:pPr>
        <w:numPr>
          <w:ilvl w:val="0"/>
          <w:numId w:val="1"/>
        </w:numPr>
        <w:pBdr>
          <w:top w:space="0" w:sz="0" w:val="nil"/>
          <w:left w:space="0" w:sz="0" w:val="nil"/>
          <w:bottom w:space="0" w:sz="0" w:val="nil"/>
          <w:right w:space="0" w:sz="0" w:val="nil"/>
          <w:between w:space="0" w:sz="0" w:val="nil"/>
        </w:pBdr>
        <w:ind w:left="884" w:hanging="360"/>
        <w:rPr>
          <w:rFonts w:ascii="Calibri" w:cs="Calibri" w:eastAsia="Calibri" w:hAnsi="Calibri"/>
          <w:color w:val="000000"/>
        </w:rPr>
      </w:pPr>
      <w:r w:rsidDel="00000000" w:rsidR="00000000" w:rsidRPr="00000000">
        <w:rPr>
          <w:rFonts w:ascii="Calibri" w:cs="Calibri" w:eastAsia="Calibri" w:hAnsi="Calibri"/>
          <w:i w:val="1"/>
          <w:color w:val="000000"/>
          <w:rtl w:val="0"/>
        </w:rPr>
        <w:t xml:space="preserve">La performance</w:t>
      </w:r>
      <w:r w:rsidDel="00000000" w:rsidR="00000000" w:rsidRPr="00000000">
        <w:rPr>
          <w:rFonts w:ascii="Calibri" w:cs="Calibri" w:eastAsia="Calibri" w:hAnsi="Calibri"/>
          <w:color w:val="000000"/>
          <w:rtl w:val="0"/>
        </w:rPr>
        <w:t xml:space="preserve"> nell’insieme dei Top 20 tribunali italiani evidenzia </w:t>
      </w:r>
      <w:r w:rsidDel="00000000" w:rsidR="00000000" w:rsidRPr="00000000">
        <w:rPr>
          <w:rFonts w:ascii="Calibri" w:cs="Calibri" w:eastAsia="Calibri" w:hAnsi="Calibri"/>
          <w:color w:val="000000"/>
          <w:u w:val="single"/>
          <w:rtl w:val="0"/>
        </w:rPr>
        <w:t xml:space="preserve">Torino</w:t>
      </w:r>
      <w:r w:rsidDel="00000000" w:rsidR="00000000" w:rsidRPr="00000000">
        <w:rPr>
          <w:rFonts w:ascii="Calibri" w:cs="Calibri" w:eastAsia="Calibri" w:hAnsi="Calibri"/>
          <w:color w:val="000000"/>
          <w:rtl w:val="0"/>
        </w:rPr>
        <w:t xml:space="preserve"> quale unico tribunale con clearance rate negativo, a causa di un incremento del 47</w:t>
      </w:r>
      <w:r w:rsidDel="00000000" w:rsidR="00000000" w:rsidRPr="00000000">
        <w:rPr>
          <w:rFonts w:ascii="Calibri" w:cs="Calibri" w:eastAsia="Calibri" w:hAnsi="Calibri"/>
          <w:rtl w:val="0"/>
        </w:rPr>
        <w:t xml:space="preserve">%</w:t>
      </w:r>
      <w:r w:rsidDel="00000000" w:rsidR="00000000" w:rsidRPr="00000000">
        <w:rPr>
          <w:rtl w:val="0"/>
        </w:rPr>
        <w:t xml:space="preserve"> </w:t>
      </w:r>
      <w:r w:rsidDel="00000000" w:rsidR="00000000" w:rsidRPr="00000000">
        <w:rPr>
          <w:rFonts w:ascii="Calibri" w:cs="Calibri" w:eastAsia="Calibri" w:hAnsi="Calibri"/>
          <w:color w:val="000000"/>
          <w:rtl w:val="0"/>
        </w:rPr>
        <w:t xml:space="preserve">delle nuove liquidazioni rispetto al 2023, mantenendo costante il numero di procedure chiuse. </w:t>
      </w:r>
      <w:r w:rsidDel="00000000" w:rsidR="00000000" w:rsidRPr="00000000">
        <w:rPr>
          <w:rFonts w:ascii="Calibri" w:cs="Calibri" w:eastAsia="Calibri" w:hAnsi="Calibri"/>
          <w:color w:val="000000"/>
          <w:u w:val="single"/>
          <w:rtl w:val="0"/>
        </w:rPr>
        <w:t xml:space="preserve">Venezia</w:t>
      </w:r>
      <w:r w:rsidDel="00000000" w:rsidR="00000000" w:rsidRPr="00000000">
        <w:rPr>
          <w:rFonts w:ascii="Calibri" w:cs="Calibri" w:eastAsia="Calibri" w:hAnsi="Calibri"/>
          <w:color w:val="000000"/>
          <w:rtl w:val="0"/>
        </w:rPr>
        <w:t xml:space="preserve">, all’opposto, ha il miglior clearance rate (120%) grazie a un forte aumento di procedure concluse; </w:t>
      </w:r>
      <w:r w:rsidDel="00000000" w:rsidR="00000000" w:rsidRPr="00000000">
        <w:rPr>
          <w:rFonts w:ascii="Calibri" w:cs="Calibri" w:eastAsia="Calibri" w:hAnsi="Calibri"/>
          <w:color w:val="000000"/>
          <w:u w:val="single"/>
          <w:rtl w:val="0"/>
        </w:rPr>
        <w:t xml:space="preserve">Milano</w:t>
      </w:r>
      <w:r w:rsidDel="00000000" w:rsidR="00000000" w:rsidRPr="00000000">
        <w:rPr>
          <w:rFonts w:ascii="Calibri" w:cs="Calibri" w:eastAsia="Calibri" w:hAnsi="Calibri"/>
          <w:color w:val="000000"/>
          <w:rtl w:val="0"/>
        </w:rPr>
        <w:t xml:space="preserve"> è il tribunale con il maggior numero di nuove procedure (756) e anche quello che ne chiude di più (1094), distanziando nettamente </w:t>
      </w:r>
      <w:r w:rsidDel="00000000" w:rsidR="00000000" w:rsidRPr="00000000">
        <w:rPr>
          <w:rFonts w:ascii="Calibri" w:cs="Calibri" w:eastAsia="Calibri" w:hAnsi="Calibri"/>
          <w:color w:val="000000"/>
          <w:u w:val="single"/>
          <w:rtl w:val="0"/>
        </w:rPr>
        <w:t xml:space="preserve">Roma</w:t>
      </w:r>
      <w:r w:rsidDel="00000000" w:rsidR="00000000" w:rsidRPr="00000000">
        <w:rPr>
          <w:rFonts w:ascii="Calibri" w:cs="Calibri" w:eastAsia="Calibri" w:hAnsi="Calibri"/>
          <w:color w:val="000000"/>
          <w:rtl w:val="0"/>
        </w:rPr>
        <w:t xml:space="preserve"> (734 nuove e 827 chiuse). Degni di nota i tribunali di </w:t>
      </w:r>
      <w:r w:rsidDel="00000000" w:rsidR="00000000" w:rsidRPr="00000000">
        <w:rPr>
          <w:rFonts w:ascii="Calibri" w:cs="Calibri" w:eastAsia="Calibri" w:hAnsi="Calibri"/>
          <w:color w:val="000000"/>
          <w:u w:val="single"/>
          <w:rtl w:val="0"/>
        </w:rPr>
        <w:t xml:space="preserve">Bergamo e Brescia</w:t>
      </w:r>
      <w:r w:rsidDel="00000000" w:rsidR="00000000" w:rsidRPr="00000000">
        <w:rPr>
          <w:rFonts w:ascii="Calibri" w:cs="Calibri" w:eastAsia="Calibri" w:hAnsi="Calibri"/>
          <w:color w:val="000000"/>
          <w:rtl w:val="0"/>
        </w:rPr>
        <w:t xml:space="preserve"> che hanno subito una forte diminuzione nelle procedure chiuse.</w:t>
      </w:r>
    </w:p>
    <w:p w:rsidR="00000000" w:rsidDel="00000000" w:rsidP="00000000" w:rsidRDefault="00000000" w:rsidRPr="00000000" w14:paraId="0000000E">
      <w:pPr>
        <w:ind w:left="164" w:firstLine="0"/>
        <w:rPr>
          <w:rFonts w:ascii="Calibri" w:cs="Calibri" w:eastAsia="Calibri" w:hAnsi="Calibri"/>
        </w:rPr>
      </w:pPr>
      <w:r w:rsidDel="00000000" w:rsidR="00000000" w:rsidRPr="00000000">
        <w:rPr>
          <w:rtl w:val="0"/>
        </w:rPr>
      </w:r>
    </w:p>
    <w:p w:rsidR="00000000" w:rsidDel="00000000" w:rsidP="00000000" w:rsidRDefault="00000000" w:rsidRPr="00000000" w14:paraId="0000000F">
      <w:pPr>
        <w:ind w:left="164" w:firstLine="0"/>
        <w:rPr>
          <w:rFonts w:ascii="Calibri" w:cs="Calibri" w:eastAsia="Calibri" w:hAnsi="Calibri"/>
        </w:rPr>
      </w:pPr>
      <w:r w:rsidDel="00000000" w:rsidR="00000000" w:rsidRPr="00000000">
        <w:rPr>
          <w:rFonts w:ascii="Calibri" w:cs="Calibri" w:eastAsia="Calibri" w:hAnsi="Calibri"/>
          <w:i w:val="1"/>
          <w:rtl w:val="0"/>
        </w:rPr>
        <w:t xml:space="preserve">“I dati raccolti dall’osservatorio Berry SEA rappresentano uno strumento prezioso per monitorare l’efficienza del sistema e individuare aree di miglioramento. Questo report conferma l’impegno delle istituzioni nel migliorare la gestione dei casi, a beneficio della comunità e della giustizia”, ha dichiarato </w:t>
      </w:r>
      <w:r w:rsidDel="00000000" w:rsidR="00000000" w:rsidRPr="00000000">
        <w:rPr>
          <w:rFonts w:ascii="Calibri" w:cs="Calibri" w:eastAsia="Calibri" w:hAnsi="Calibri"/>
          <w:b w:val="1"/>
          <w:rtl w:val="0"/>
        </w:rPr>
        <w:t xml:space="preserve">Giacomo Fava</w:t>
      </w:r>
      <w:r w:rsidDel="00000000" w:rsidR="00000000" w:rsidRPr="00000000">
        <w:rPr>
          <w:rFonts w:ascii="Calibri" w:cs="Calibri" w:eastAsia="Calibri" w:hAnsi="Calibri"/>
          <w:rtl w:val="0"/>
        </w:rPr>
        <w:t xml:space="preserve">, Lead Artificial Intelligence Engineer presso berry srl.</w:t>
      </w:r>
    </w:p>
    <w:p w:rsidR="00000000" w:rsidDel="00000000" w:rsidP="00000000" w:rsidRDefault="00000000" w:rsidRPr="00000000" w14:paraId="00000010">
      <w:pPr>
        <w:tabs>
          <w:tab w:val="left" w:leader="none" w:pos="3544"/>
        </w:tabs>
        <w:ind w:left="164"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11">
      <w:pPr>
        <w:rPr>
          <w:rFonts w:ascii="Calibri" w:cs="Calibri" w:eastAsia="Calibri" w:hAnsi="Calibri"/>
          <w:b w:val="1"/>
        </w:rPr>
      </w:pPr>
      <w:r w:rsidDel="00000000" w:rsidR="00000000" w:rsidRPr="00000000">
        <w:rPr>
          <w:rFonts w:ascii="Calibri" w:cs="Calibri" w:eastAsia="Calibri" w:hAnsi="Calibri"/>
          <w:b w:val="1"/>
          <w:rtl w:val="0"/>
        </w:rPr>
        <w:t xml:space="preserve">Variazioni regionali</w:t>
      </w:r>
    </w:p>
    <w:p w:rsidR="00000000" w:rsidDel="00000000" w:rsidP="00000000" w:rsidRDefault="00000000" w:rsidRPr="00000000" w14:paraId="00000012">
      <w:pPr>
        <w:numPr>
          <w:ilvl w:val="0"/>
          <w:numId w:val="2"/>
        </w:numPr>
        <w:pBdr>
          <w:top w:space="0" w:sz="0" w:val="nil"/>
          <w:left w:space="0" w:sz="0" w:val="nil"/>
          <w:bottom w:space="0" w:sz="0" w:val="nil"/>
          <w:right w:space="0" w:sz="0" w:val="nil"/>
          <w:between w:space="0" w:sz="0" w:val="nil"/>
        </w:pBdr>
        <w:ind w:left="720"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La Calabria ha registrato un incremento del 12% nel numero di casi definiti, con un aumento del 26% nelle iscrizioni.</w:t>
      </w:r>
    </w:p>
    <w:p w:rsidR="00000000" w:rsidDel="00000000" w:rsidP="00000000" w:rsidRDefault="00000000" w:rsidRPr="00000000" w14:paraId="00000013">
      <w:pPr>
        <w:numPr>
          <w:ilvl w:val="0"/>
          <w:numId w:val="2"/>
        </w:numPr>
        <w:pBdr>
          <w:top w:space="0" w:sz="0" w:val="nil"/>
          <w:left w:space="0" w:sz="0" w:val="nil"/>
          <w:bottom w:space="0" w:sz="0" w:val="nil"/>
          <w:right w:space="0" w:sz="0" w:val="nil"/>
          <w:between w:space="0" w:sz="0" w:val="nil"/>
        </w:pBdr>
        <w:ind w:left="720"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L’Abruzzo ha mantenuto costanti i livelli di definizione, mentre la Basilicata ha visto un calo dell’8%.</w:t>
      </w:r>
    </w:p>
    <w:p w:rsidR="00000000" w:rsidDel="00000000" w:rsidP="00000000" w:rsidRDefault="00000000" w:rsidRPr="00000000" w14:paraId="00000014">
      <w:pPr>
        <w:numPr>
          <w:ilvl w:val="0"/>
          <w:numId w:val="2"/>
        </w:numPr>
        <w:pBdr>
          <w:top w:space="0" w:sz="0" w:val="nil"/>
          <w:left w:space="0" w:sz="0" w:val="nil"/>
          <w:bottom w:space="0" w:sz="0" w:val="nil"/>
          <w:right w:space="0" w:sz="0" w:val="nil"/>
          <w:between w:space="0" w:sz="0" w:val="nil"/>
        </w:pBdr>
        <w:ind w:left="720"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La regione Marche si distingue per il clearance rate più alto: vengono chiuse 442 procedure rispetto alle 183 nuove aperte, più del doppio</w:t>
      </w:r>
      <w:r w:rsidDel="00000000" w:rsidR="00000000" w:rsidRPr="00000000">
        <w:rPr>
          <w:rtl w:val="0"/>
        </w:rPr>
        <w:t xml:space="preserve">     </w:t>
      </w:r>
      <w:r w:rsidDel="00000000" w:rsidR="00000000" w:rsidRPr="00000000">
        <w:rPr>
          <w:rFonts w:ascii="Calibri" w:cs="Calibri" w:eastAsia="Calibri" w:hAnsi="Calibri"/>
          <w:color w:val="000000"/>
          <w:rtl w:val="0"/>
        </w:rPr>
        <w:t xml:space="preserve">.</w:t>
      </w:r>
    </w:p>
    <w:p w:rsidR="00000000" w:rsidDel="00000000" w:rsidP="00000000" w:rsidRDefault="00000000" w:rsidRPr="00000000" w14:paraId="00000015">
      <w:pPr>
        <w:numPr>
          <w:ilvl w:val="0"/>
          <w:numId w:val="2"/>
        </w:numPr>
        <w:pBdr>
          <w:top w:space="0" w:sz="0" w:val="nil"/>
          <w:left w:space="0" w:sz="0" w:val="nil"/>
          <w:bottom w:space="0" w:sz="0" w:val="nil"/>
          <w:right w:space="0" w:sz="0" w:val="nil"/>
          <w:between w:space="0" w:sz="0" w:val="nil"/>
        </w:pBdr>
        <w:ind w:left="720"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Il Molise è l’unica regione con clearance rate negativo, ma data la bassa volumetria complessiva, il suo impatto sul quadro nazionale è marginale.</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rFonts w:ascii="Calibri" w:cs="Calibri" w:eastAsia="Calibri" w:hAnsi="Calibri"/>
          <w:b w:val="1"/>
        </w:rPr>
      </w:pPr>
      <w:r w:rsidDel="00000000" w:rsidR="00000000" w:rsidRPr="00000000">
        <w:rPr>
          <w:rFonts w:ascii="Calibri" w:cs="Calibri" w:eastAsia="Calibri" w:hAnsi="Calibri"/>
          <w:b w:val="1"/>
          <w:rtl w:val="0"/>
        </w:rPr>
        <w:t xml:space="preserve">Tendenze mensili</w:t>
      </w:r>
    </w:p>
    <w:p w:rsidR="00000000" w:rsidDel="00000000" w:rsidP="00000000" w:rsidRDefault="00000000" w:rsidRPr="00000000" w14:paraId="00000018">
      <w:pPr>
        <w:numPr>
          <w:ilvl w:val="0"/>
          <w:numId w:val="3"/>
        </w:numPr>
        <w:pBdr>
          <w:top w:space="0" w:sz="0" w:val="nil"/>
          <w:left w:space="0" w:sz="0" w:val="nil"/>
          <w:bottom w:space="0" w:sz="0" w:val="nil"/>
          <w:right w:space="0" w:sz="0" w:val="nil"/>
          <w:between w:space="0" w:sz="0" w:val="nil"/>
        </w:pBdr>
        <w:ind w:left="720" w:hanging="36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Gennaio:</w:t>
      </w:r>
      <w:r w:rsidDel="00000000" w:rsidR="00000000" w:rsidRPr="00000000">
        <w:rPr>
          <w:rFonts w:ascii="Calibri" w:cs="Calibri" w:eastAsia="Calibri" w:hAnsi="Calibri"/>
          <w:color w:val="000000"/>
          <w:rtl w:val="0"/>
        </w:rPr>
        <w:t xml:space="preserve"> ha registrato un aumento del 5% nei casi definiti rispetto allo stesso mese del 2023, grazie a una ripresa delle attività post-festive che ha portato a una maggiore efficienza nelle definizioni.</w:t>
      </w:r>
    </w:p>
    <w:p w:rsidR="00000000" w:rsidDel="00000000" w:rsidP="00000000" w:rsidRDefault="00000000" w:rsidRPr="00000000" w14:paraId="00000019">
      <w:pPr>
        <w:numPr>
          <w:ilvl w:val="0"/>
          <w:numId w:val="3"/>
        </w:numPr>
        <w:pBdr>
          <w:top w:space="0" w:sz="0" w:val="nil"/>
          <w:left w:space="0" w:sz="0" w:val="nil"/>
          <w:bottom w:space="0" w:sz="0" w:val="nil"/>
          <w:right w:space="0" w:sz="0" w:val="nil"/>
          <w:between w:space="0" w:sz="0" w:val="nil"/>
        </w:pBdr>
        <w:ind w:left="720" w:hanging="36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Marzo:</w:t>
      </w:r>
      <w:r w:rsidDel="00000000" w:rsidR="00000000" w:rsidRPr="00000000">
        <w:rPr>
          <w:rFonts w:ascii="Calibri" w:cs="Calibri" w:eastAsia="Calibri" w:hAnsi="Calibri"/>
          <w:color w:val="000000"/>
          <w:rtl w:val="0"/>
        </w:rPr>
        <w:t xml:space="preserve"> ha subito una flessione del 9% nei casi definiti, attribuibile a un rallentamento nelle attività amministrative e a un incremento delle iscrizioni che ha sovraccaricato il sistema.</w:t>
      </w:r>
    </w:p>
    <w:p w:rsidR="00000000" w:rsidDel="00000000" w:rsidP="00000000" w:rsidRDefault="00000000" w:rsidRPr="00000000" w14:paraId="0000001A">
      <w:pPr>
        <w:numPr>
          <w:ilvl w:val="0"/>
          <w:numId w:val="3"/>
        </w:numPr>
        <w:pBdr>
          <w:top w:space="0" w:sz="0" w:val="nil"/>
          <w:left w:space="0" w:sz="0" w:val="nil"/>
          <w:bottom w:space="0" w:sz="0" w:val="nil"/>
          <w:right w:space="0" w:sz="0" w:val="nil"/>
          <w:between w:space="0" w:sz="0" w:val="nil"/>
        </w:pBdr>
        <w:ind w:left="720" w:hanging="36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Aprile e Maggio:</w:t>
      </w:r>
      <w:r w:rsidDel="00000000" w:rsidR="00000000" w:rsidRPr="00000000">
        <w:rPr>
          <w:rFonts w:ascii="Calibri" w:cs="Calibri" w:eastAsia="Calibri" w:hAnsi="Calibri"/>
          <w:color w:val="000000"/>
          <w:rtl w:val="0"/>
        </w:rPr>
        <w:t xml:space="preserve"> si sono distinti per un andamento stabile, mantenendo volumi di definizioni in linea con la media del primo semestre.</w:t>
      </w:r>
    </w:p>
    <w:p w:rsidR="00000000" w:rsidDel="00000000" w:rsidP="00000000" w:rsidRDefault="00000000" w:rsidRPr="00000000" w14:paraId="0000001B">
      <w:pPr>
        <w:rPr/>
      </w:pPr>
      <w:r w:rsidDel="00000000" w:rsidR="00000000" w:rsidRPr="00000000">
        <w:rPr>
          <w:rFonts w:ascii="Calibri" w:cs="Calibri" w:eastAsia="Calibri" w:hAnsi="Calibri"/>
          <w:b w:val="1"/>
          <w:color w:val="000000"/>
          <w:rtl w:val="0"/>
        </w:rPr>
        <w:t xml:space="preserve">Secondo semestre</w:t>
      </w:r>
      <w:r w:rsidDel="00000000" w:rsidR="00000000" w:rsidRPr="00000000">
        <w:rPr>
          <w:b w:val="1"/>
          <w:rtl w:val="0"/>
        </w:rPr>
        <w:t xml:space="preserve">:</w:t>
      </w:r>
      <w:r w:rsidDel="00000000" w:rsidR="00000000" w:rsidRPr="00000000">
        <w:rPr>
          <w:rtl w:val="0"/>
        </w:rPr>
        <w:t xml:space="preserve"> </w:t>
      </w:r>
      <w:r w:rsidDel="00000000" w:rsidR="00000000" w:rsidRPr="00000000">
        <w:rPr>
          <w:rFonts w:ascii="Calibri" w:cs="Calibri" w:eastAsia="Calibri" w:hAnsi="Calibri"/>
          <w:color w:val="000000"/>
          <w:rtl w:val="0"/>
        </w:rPr>
        <w:t xml:space="preserve">ha evidenziato un’oscillazione nei volumi di definizioni, con picchi positivi a luglio (+4% rispetto al 2023) e cali significativi a novembre (-16%). Questi dati riflettono le dinamiche stagionali e le campagne di chiusura pendenti</w:t>
      </w:r>
      <w:r w:rsidDel="00000000" w:rsidR="00000000" w:rsidRPr="00000000">
        <w:rPr>
          <w:rtl w:val="0"/>
        </w:rPr>
        <w:t xml:space="preserve">.</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rFonts w:ascii="Calibri" w:cs="Calibri" w:eastAsia="Calibri" w:hAnsi="Calibri"/>
          <w:b w:val="1"/>
        </w:rPr>
      </w:pPr>
      <w:r w:rsidDel="00000000" w:rsidR="00000000" w:rsidRPr="00000000">
        <w:rPr>
          <w:rFonts w:ascii="Calibri" w:cs="Calibri" w:eastAsia="Calibri" w:hAnsi="Calibri"/>
          <w:b w:val="1"/>
          <w:rtl w:val="0"/>
        </w:rPr>
        <w:t xml:space="preserve">Gestione dei casi pendenti</w:t>
      </w:r>
    </w:p>
    <w:p w:rsidR="00000000" w:rsidDel="00000000" w:rsidP="00000000" w:rsidRDefault="00000000" w:rsidRPr="00000000" w14:paraId="0000001E">
      <w:pPr>
        <w:ind w:left="284" w:firstLine="0"/>
        <w:rPr>
          <w:rFonts w:ascii="Calibri" w:cs="Calibri" w:eastAsia="Calibri" w:hAnsi="Calibri"/>
        </w:rPr>
      </w:pPr>
      <w:r w:rsidDel="00000000" w:rsidR="00000000" w:rsidRPr="00000000">
        <w:rPr>
          <w:rFonts w:ascii="Calibri" w:cs="Calibri" w:eastAsia="Calibri" w:hAnsi="Calibri"/>
          <w:rtl w:val="0"/>
        </w:rPr>
        <w:t xml:space="preserve">Il </w:t>
      </w:r>
      <w:r w:rsidDel="00000000" w:rsidR="00000000" w:rsidRPr="00000000">
        <w:rPr>
          <w:rFonts w:ascii="Calibri" w:cs="Calibri" w:eastAsia="Calibri" w:hAnsi="Calibri"/>
          <w:u w:val="single"/>
          <w:rtl w:val="0"/>
        </w:rPr>
        <w:t xml:space="preserve">numero di procedure</w:t>
      </w:r>
      <w:r w:rsidDel="00000000" w:rsidR="00000000" w:rsidRPr="00000000">
        <w:rPr>
          <w:rFonts w:ascii="Calibri" w:cs="Calibri" w:eastAsia="Calibri" w:hAnsi="Calibri"/>
          <w:rtl w:val="0"/>
        </w:rPr>
        <w:t xml:space="preserve"> pendenti al 31.12.2024 é pari a 50.107 (fallimenti e liquidazioni giudiziali) (54.169 al 31.12.2023) in continua decrescita (-7%), con un clearance rate complessivo del 46%; si chiude circa una procedura e mezza per ogni nuova procedura aperta.</w:t>
      </w:r>
    </w:p>
    <w:p w:rsidR="00000000" w:rsidDel="00000000" w:rsidP="00000000" w:rsidRDefault="00000000" w:rsidRPr="00000000" w14:paraId="0000001F">
      <w:pPr>
        <w:ind w:left="284" w:firstLine="0"/>
        <w:rPr>
          <w:rFonts w:ascii="Calibri" w:cs="Calibri" w:eastAsia="Calibri" w:hAnsi="Calibri"/>
        </w:rPr>
      </w:pPr>
      <w:r w:rsidDel="00000000" w:rsidR="00000000" w:rsidRPr="00000000">
        <w:rPr>
          <w:rFonts w:ascii="Calibri" w:cs="Calibri" w:eastAsia="Calibri" w:hAnsi="Calibri"/>
          <w:rtl w:val="0"/>
        </w:rPr>
        <w:t xml:space="preserve">I </w:t>
      </w:r>
      <w:r w:rsidDel="00000000" w:rsidR="00000000" w:rsidRPr="00000000">
        <w:rPr>
          <w:rFonts w:ascii="Calibri" w:cs="Calibri" w:eastAsia="Calibri" w:hAnsi="Calibri"/>
          <w:u w:val="single"/>
          <w:rtl w:val="0"/>
        </w:rPr>
        <w:t xml:space="preserve">fallimenti pendenti</w:t>
      </w:r>
      <w:r w:rsidDel="00000000" w:rsidR="00000000" w:rsidRPr="00000000">
        <w:rPr>
          <w:rFonts w:ascii="Calibri" w:cs="Calibri" w:eastAsia="Calibri" w:hAnsi="Calibri"/>
          <w:rtl w:val="0"/>
        </w:rPr>
        <w:t xml:space="preserve"> diminuiscono in maniera più significativa, -24%) al 31.12.2024 pari a 35.784  (47.143 al 31.12.2023) poiché non vengono più aperti nuovi casi, mentre le liquidazioni giudiziali stanno aumentando in maniera decisa 14.323 al 31.12.2024 (7.026 al 31.12.2023, +104%). </w:t>
      </w:r>
    </w:p>
    <w:p w:rsidR="00000000" w:rsidDel="00000000" w:rsidP="00000000" w:rsidRDefault="00000000" w:rsidRPr="00000000" w14:paraId="00000020">
      <w:pPr>
        <w:ind w:left="284" w:firstLine="0"/>
        <w:rPr>
          <w:rFonts w:ascii="Calibri" w:cs="Calibri" w:eastAsia="Calibri" w:hAnsi="Calibri"/>
        </w:rPr>
      </w:pPr>
      <w:r w:rsidDel="00000000" w:rsidR="00000000" w:rsidRPr="00000000">
        <w:rPr>
          <w:rFonts w:ascii="Calibri" w:cs="Calibri" w:eastAsia="Calibri" w:hAnsi="Calibri"/>
          <w:rtl w:val="0"/>
        </w:rPr>
        <w:t xml:space="preserve">Da sottolineare che il numero di nuove procedure è cresciuto del 15%, mentre le procedure definite sono diminuite dell’8% rispetto al 2023. Ciò rallenta la velocità di riduzione dei pendenti.</w:t>
      </w:r>
    </w:p>
    <w:p w:rsidR="00000000" w:rsidDel="00000000" w:rsidP="00000000" w:rsidRDefault="00000000" w:rsidRPr="00000000" w14:paraId="00000021">
      <w:pPr>
        <w:rPr>
          <w:rFonts w:ascii="Calibri" w:cs="Calibri" w:eastAsia="Calibri" w:hAnsi="Calibri"/>
        </w:rPr>
      </w:pPr>
      <w:r w:rsidDel="00000000" w:rsidR="00000000" w:rsidRPr="00000000">
        <w:rPr>
          <w:rtl w:val="0"/>
        </w:rPr>
      </w:r>
    </w:p>
    <w:p w:rsidR="00000000" w:rsidDel="00000000" w:rsidP="00000000" w:rsidRDefault="00000000" w:rsidRPr="00000000" w14:paraId="00000022">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3">
      <w:pPr>
        <w:jc w:val="center"/>
        <w:rPr/>
      </w:pPr>
      <w:r w:rsidDel="00000000" w:rsidR="00000000" w:rsidRPr="00000000">
        <w:rPr>
          <w:rtl w:val="0"/>
        </w:rPr>
        <w:t xml:space="preserve">***</w:t>
      </w:r>
    </w:p>
    <w:p w:rsidR="00000000" w:rsidDel="00000000" w:rsidP="00000000" w:rsidRDefault="00000000" w:rsidRPr="00000000" w14:paraId="00000024">
      <w:pPr>
        <w:ind w:right="424"/>
        <w:jc w:val="both"/>
        <w:rPr>
          <w:rFonts w:ascii="Teko" w:cs="Teko" w:eastAsia="Teko" w:hAnsi="Teko"/>
          <w:color w:val="000000"/>
          <w:sz w:val="20"/>
          <w:szCs w:val="20"/>
        </w:rPr>
      </w:pPr>
      <w:r w:rsidDel="00000000" w:rsidR="00000000" w:rsidRPr="00000000">
        <w:rPr>
          <w:rtl w:val="0"/>
        </w:rPr>
      </w:r>
    </w:p>
    <w:p w:rsidR="00000000" w:rsidDel="00000000" w:rsidP="00000000" w:rsidRDefault="00000000" w:rsidRPr="00000000" w14:paraId="00000025">
      <w:pPr>
        <w:jc w:val="both"/>
        <w:rPr>
          <w:rFonts w:ascii="Calibri" w:cs="Calibri" w:eastAsia="Calibri" w:hAnsi="Calibri"/>
          <w:sz w:val="18"/>
          <w:szCs w:val="18"/>
        </w:rPr>
      </w:pPr>
      <w:r w:rsidDel="00000000" w:rsidR="00000000" w:rsidRPr="00000000">
        <w:rPr>
          <w:rFonts w:ascii="Calibri" w:cs="Calibri" w:eastAsia="Calibri" w:hAnsi="Calibri"/>
          <w:b w:val="1"/>
          <w:i w:val="1"/>
          <w:sz w:val="20"/>
          <w:szCs w:val="20"/>
          <w:rtl w:val="0"/>
        </w:rPr>
        <w:t xml:space="preserve">berry Srl</w:t>
      </w:r>
      <w:r w:rsidDel="00000000" w:rsidR="00000000" w:rsidRPr="00000000">
        <w:rPr>
          <w:rFonts w:ascii="Calibri" w:cs="Calibri" w:eastAsia="Calibri" w:hAnsi="Calibri"/>
          <w:i w:val="1"/>
          <w:sz w:val="20"/>
          <w:szCs w:val="20"/>
          <w:rtl w:val="0"/>
        </w:rPr>
        <w:t xml:space="preserve"> è una startup fintech che supporta gli operatori del mercato del credito attraverso soluzioni di intelligenza artificiale, in grado di analizzare in pochi secondi portafogli di crediti deteriorati e raccordare tutte le informazioni utili a valorizzarne al meglio le posizioni. berry Srl è proprietaria della piattaforma Bit, che è in grado di recuperare, in maniera automatica e veloce, le informazioni necessarie a una profonda data remediation, supportando banche, servicer e fondi nelle attività di gestione e transizione di portafogli NPL, o di erogazione del credito. L’azienda opera anche nel settore real estate attraverso Brick, tool che offre un servizio di scouting di affari immobiliari tramite le aste in Italia, di crediti fiscali da procedure concorsuali e di procedure legali verso gli assuntori del credito.</w:t>
      </w:r>
      <w:r w:rsidDel="00000000" w:rsidR="00000000" w:rsidRPr="00000000">
        <w:rPr>
          <w:rtl w:val="0"/>
        </w:rPr>
      </w:r>
    </w:p>
    <w:p w:rsidR="00000000" w:rsidDel="00000000" w:rsidP="00000000" w:rsidRDefault="00000000" w:rsidRPr="00000000" w14:paraId="00000026">
      <w:pPr>
        <w:jc w:val="both"/>
        <w:rPr>
          <w:rFonts w:ascii="Calibri" w:cs="Calibri" w:eastAsia="Calibri" w:hAnsi="Calibri"/>
          <w:b w:val="1"/>
          <w:sz w:val="18"/>
          <w:szCs w:val="18"/>
        </w:rPr>
      </w:pPr>
      <w:r w:rsidDel="00000000" w:rsidR="00000000" w:rsidRPr="00000000">
        <w:rPr>
          <w:rtl w:val="0"/>
        </w:rPr>
      </w:r>
    </w:p>
    <w:p w:rsidR="00000000" w:rsidDel="00000000" w:rsidP="00000000" w:rsidRDefault="00000000" w:rsidRPr="00000000" w14:paraId="00000027">
      <w:pPr>
        <w:jc w:val="both"/>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28">
      <w:pPr>
        <w:jc w:val="both"/>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29">
      <w:pPr>
        <w:jc w:val="both"/>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2A">
      <w:pPr>
        <w:rPr>
          <w:rFonts w:ascii="Calibri" w:cs="Calibri" w:eastAsia="Calibri" w:hAnsi="Calibri"/>
          <w:b w:val="1"/>
          <w:sz w:val="20"/>
          <w:szCs w:val="20"/>
        </w:rPr>
      </w:pPr>
      <w:r w:rsidDel="00000000" w:rsidR="00000000" w:rsidRPr="00000000">
        <w:rPr>
          <w:rFonts w:ascii="Calibri" w:cs="Calibri" w:eastAsia="Calibri" w:hAnsi="Calibri"/>
          <w:sz w:val="20"/>
          <w:szCs w:val="20"/>
          <w:rtl w:val="0"/>
        </w:rPr>
        <w:t xml:space="preserve">Media relations a cura di </w:t>
      </w:r>
      <w:r w:rsidDel="00000000" w:rsidR="00000000" w:rsidRPr="00000000">
        <w:rPr>
          <w:rFonts w:ascii="Calibri" w:cs="Calibri" w:eastAsia="Calibri" w:hAnsi="Calibri"/>
          <w:b w:val="1"/>
          <w:color w:val="eb1c52"/>
          <w:sz w:val="20"/>
          <w:szCs w:val="20"/>
          <w:rtl w:val="0"/>
        </w:rPr>
        <w:t xml:space="preserve">T.W.I.N</w:t>
      </w:r>
      <w:r w:rsidDel="00000000" w:rsidR="00000000" w:rsidRPr="00000000">
        <w:rPr>
          <w:rFonts w:ascii="Calibri" w:cs="Calibri" w:eastAsia="Calibri" w:hAnsi="Calibri"/>
          <w:b w:val="1"/>
          <w:sz w:val="20"/>
          <w:szCs w:val="20"/>
          <w:rtl w:val="0"/>
        </w:rPr>
        <w:t xml:space="preserve"> </w:t>
      </w:r>
    </w:p>
    <w:p w:rsidR="00000000" w:rsidDel="00000000" w:rsidP="00000000" w:rsidRDefault="00000000" w:rsidRPr="00000000" w14:paraId="0000002B">
      <w:pPr>
        <w:rPr>
          <w:rFonts w:ascii="Calibri" w:cs="Calibri" w:eastAsia="Calibri" w:hAnsi="Calibri"/>
          <w:sz w:val="20"/>
          <w:szCs w:val="20"/>
        </w:rPr>
      </w:pPr>
      <w:hyperlink r:id="rId7">
        <w:r w:rsidDel="00000000" w:rsidR="00000000" w:rsidRPr="00000000">
          <w:rPr>
            <w:rFonts w:ascii="Calibri" w:cs="Calibri" w:eastAsia="Calibri" w:hAnsi="Calibri"/>
            <w:color w:val="000000"/>
            <w:sz w:val="20"/>
            <w:szCs w:val="20"/>
            <w:highlight w:val="white"/>
            <w:u w:val="single"/>
            <w:rtl w:val="0"/>
          </w:rPr>
          <w:t xml:space="preserve">berry@twin.services|+39</w:t>
        </w:r>
      </w:hyperlink>
      <w:r w:rsidDel="00000000" w:rsidR="00000000" w:rsidRPr="00000000">
        <w:rPr>
          <w:rFonts w:ascii="Calibri" w:cs="Calibri" w:eastAsia="Calibri" w:hAnsi="Calibri"/>
          <w:color w:val="000000"/>
          <w:sz w:val="20"/>
          <w:szCs w:val="20"/>
          <w:highlight w:val="white"/>
          <w:u w:val="single"/>
          <w:rtl w:val="0"/>
        </w:rPr>
        <w:t xml:space="preserve"> </w:t>
      </w:r>
      <w:r w:rsidDel="00000000" w:rsidR="00000000" w:rsidRPr="00000000">
        <w:rPr>
          <w:rFonts w:ascii="Calibri" w:cs="Calibri" w:eastAsia="Calibri" w:hAnsi="Calibri"/>
          <w:sz w:val="20"/>
          <w:szCs w:val="20"/>
          <w:highlight w:val="white"/>
          <w:rtl w:val="0"/>
        </w:rPr>
        <w:t xml:space="preserve">335 </w:t>
      </w:r>
      <w:r w:rsidDel="00000000" w:rsidR="00000000" w:rsidRPr="00000000">
        <w:rPr>
          <w:rFonts w:ascii="Calibri" w:cs="Calibri" w:eastAsia="Calibri" w:hAnsi="Calibri"/>
          <w:sz w:val="20"/>
          <w:szCs w:val="20"/>
          <w:rtl w:val="0"/>
        </w:rPr>
        <w:t xml:space="preserve">7737417</w:t>
      </w:r>
    </w:p>
    <w:p w:rsidR="00000000" w:rsidDel="00000000" w:rsidP="00000000" w:rsidRDefault="00000000" w:rsidRPr="00000000" w14:paraId="0000002C">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D">
      <w:pPr>
        <w:rPr>
          <w:rFonts w:ascii="Calibri" w:cs="Calibri" w:eastAsia="Calibri" w:hAnsi="Calibri"/>
          <w:sz w:val="20"/>
          <w:szCs w:val="20"/>
          <w:highlight w:val="white"/>
        </w:rPr>
      </w:pPr>
      <w:r w:rsidDel="00000000" w:rsidR="00000000" w:rsidRPr="00000000">
        <w:rPr>
          <w:rFonts w:ascii="Calibri" w:cs="Calibri" w:eastAsia="Calibri" w:hAnsi="Calibri"/>
          <w:b w:val="1"/>
          <w:sz w:val="20"/>
          <w:szCs w:val="20"/>
        </w:rPr>
        <w:drawing>
          <wp:inline distB="0" distT="0" distL="0" distR="0">
            <wp:extent cx="6300470" cy="2805430"/>
            <wp:effectExtent b="0" l="0" r="0" t="0"/>
            <wp:docPr descr="Immagine che contiene Diagramma, diagramma, linea&#10;&#10;Il contenuto generato dall'IA potrebbe non essere corretto." id="469015397" name="image3.png"/>
            <a:graphic>
              <a:graphicData uri="http://schemas.openxmlformats.org/drawingml/2006/picture">
                <pic:pic>
                  <pic:nvPicPr>
                    <pic:cNvPr descr="Immagine che contiene Diagramma, diagramma, linea&#10;&#10;Il contenuto generato dall'IA potrebbe non essere corretto." id="0" name="image3.png"/>
                    <pic:cNvPicPr preferRelativeResize="0"/>
                  </pic:nvPicPr>
                  <pic:blipFill>
                    <a:blip r:embed="rId8"/>
                    <a:srcRect b="0" l="0" r="0" t="0"/>
                    <a:stretch>
                      <a:fillRect/>
                    </a:stretch>
                  </pic:blipFill>
                  <pic:spPr>
                    <a:xfrm>
                      <a:off x="0" y="0"/>
                      <a:ext cx="6300470" cy="2805430"/>
                    </a:xfrm>
                    <a:prstGeom prst="rect"/>
                    <a:ln/>
                  </pic:spPr>
                </pic:pic>
              </a:graphicData>
            </a:graphic>
          </wp:inline>
        </w:drawing>
      </w:r>
      <w:r w:rsidDel="00000000" w:rsidR="00000000" w:rsidRPr="00000000">
        <w:rPr>
          <w:rFonts w:ascii="Calibri" w:cs="Calibri" w:eastAsia="Calibri" w:hAnsi="Calibri"/>
          <w:b w:val="1"/>
          <w:sz w:val="20"/>
          <w:szCs w:val="20"/>
        </w:rPr>
        <w:drawing>
          <wp:inline distB="0" distT="0" distL="0" distR="0">
            <wp:extent cx="6300470" cy="2653030"/>
            <wp:effectExtent b="0" l="0" r="0" t="0"/>
            <wp:docPr descr="Immagine che contiene schermata, testo, Diagramma, linea&#10;&#10;Il contenuto generato dall'IA potrebbe non essere corretto." id="469015399" name="image1.png"/>
            <a:graphic>
              <a:graphicData uri="http://schemas.openxmlformats.org/drawingml/2006/picture">
                <pic:pic>
                  <pic:nvPicPr>
                    <pic:cNvPr descr="Immagine che contiene schermata, testo, Diagramma, linea&#10;&#10;Il contenuto generato dall'IA potrebbe non essere corretto." id="0" name="image1.png"/>
                    <pic:cNvPicPr preferRelativeResize="0"/>
                  </pic:nvPicPr>
                  <pic:blipFill>
                    <a:blip r:embed="rId9"/>
                    <a:srcRect b="0" l="0" r="0" t="0"/>
                    <a:stretch>
                      <a:fillRect/>
                    </a:stretch>
                  </pic:blipFill>
                  <pic:spPr>
                    <a:xfrm>
                      <a:off x="0" y="0"/>
                      <a:ext cx="6300470" cy="2653030"/>
                    </a:xfrm>
                    <a:prstGeom prst="rect"/>
                    <a:ln/>
                  </pic:spPr>
                </pic:pic>
              </a:graphicData>
            </a:graphic>
          </wp:inline>
        </w:drawing>
      </w:r>
      <w:r w:rsidDel="00000000" w:rsidR="00000000" w:rsidRPr="00000000">
        <w:rPr>
          <w:rFonts w:ascii="Calibri" w:cs="Calibri" w:eastAsia="Calibri" w:hAnsi="Calibri"/>
          <w:b w:val="1"/>
          <w:sz w:val="20"/>
          <w:szCs w:val="20"/>
        </w:rPr>
        <w:drawing>
          <wp:inline distB="0" distT="0" distL="0" distR="0">
            <wp:extent cx="6300470" cy="2814320"/>
            <wp:effectExtent b="0" l="0" r="0" t="0"/>
            <wp:docPr descr="Immagine che contiene mappa, testo&#10;&#10;Il contenuto generato dall'IA potrebbe non essere corretto." id="469015398" name="image4.png"/>
            <a:graphic>
              <a:graphicData uri="http://schemas.openxmlformats.org/drawingml/2006/picture">
                <pic:pic>
                  <pic:nvPicPr>
                    <pic:cNvPr descr="Immagine che contiene mappa, testo&#10;&#10;Il contenuto generato dall'IA potrebbe non essere corretto." id="0" name="image4.png"/>
                    <pic:cNvPicPr preferRelativeResize="0"/>
                  </pic:nvPicPr>
                  <pic:blipFill>
                    <a:blip r:embed="rId10"/>
                    <a:srcRect b="0" l="0" r="0" t="0"/>
                    <a:stretch>
                      <a:fillRect/>
                    </a:stretch>
                  </pic:blipFill>
                  <pic:spPr>
                    <a:xfrm>
                      <a:off x="0" y="0"/>
                      <a:ext cx="6300470" cy="2814320"/>
                    </a:xfrm>
                    <a:prstGeom prst="rect"/>
                    <a:ln/>
                  </pic:spPr>
                </pic:pic>
              </a:graphicData>
            </a:graphic>
          </wp:inline>
        </w:drawing>
      </w:r>
      <w:r w:rsidDel="00000000" w:rsidR="00000000" w:rsidRPr="00000000">
        <w:rPr>
          <w:rFonts w:ascii="Calibri" w:cs="Calibri" w:eastAsia="Calibri" w:hAnsi="Calibri"/>
          <w:b w:val="1"/>
          <w:sz w:val="20"/>
          <w:szCs w:val="20"/>
        </w:rPr>
        <w:drawing>
          <wp:inline distB="0" distT="0" distL="0" distR="0">
            <wp:extent cx="6300470" cy="2751455"/>
            <wp:effectExtent b="0" l="0" r="0" t="0"/>
            <wp:docPr descr="Immagine che contiene testo, schermata, linea, Diagramma&#10;&#10;Il contenuto generato dall'IA potrebbe non essere corretto." id="469015401" name="image2.png"/>
            <a:graphic>
              <a:graphicData uri="http://schemas.openxmlformats.org/drawingml/2006/picture">
                <pic:pic>
                  <pic:nvPicPr>
                    <pic:cNvPr descr="Immagine che contiene testo, schermata, linea, Diagramma&#10;&#10;Il contenuto generato dall'IA potrebbe non essere corretto." id="0" name="image2.png"/>
                    <pic:cNvPicPr preferRelativeResize="0"/>
                  </pic:nvPicPr>
                  <pic:blipFill>
                    <a:blip r:embed="rId11"/>
                    <a:srcRect b="0" l="0" r="0" t="0"/>
                    <a:stretch>
                      <a:fillRect/>
                    </a:stretch>
                  </pic:blipFill>
                  <pic:spPr>
                    <a:xfrm>
                      <a:off x="0" y="0"/>
                      <a:ext cx="6300470" cy="2751455"/>
                    </a:xfrm>
                    <a:prstGeom prst="rect"/>
                    <a:ln/>
                  </pic:spPr>
                </pic:pic>
              </a:graphicData>
            </a:graphic>
          </wp:inline>
        </w:drawing>
      </w:r>
      <w:r w:rsidDel="00000000" w:rsidR="00000000" w:rsidRPr="00000000">
        <w:rPr>
          <w:rtl w:val="0"/>
        </w:rPr>
      </w:r>
    </w:p>
    <w:sectPr>
      <w:headerReference r:id="rId12" w:type="default"/>
      <w:footerReference r:id="rId13" w:type="default"/>
      <w:footerReference r:id="rId14" w:type="even"/>
      <w:pgSz w:h="16838" w:w="11906" w:orient="portrait"/>
      <w:pgMar w:bottom="1134" w:top="1293" w:left="993" w:right="99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Teko">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pBdr>
        <w:top w:space="0" w:sz="0" w:val="nil"/>
        <w:left w:space="0" w:sz="0" w:val="nil"/>
        <w:bottom w:space="0" w:sz="0" w:val="nil"/>
        <w:right w:space="0" w:sz="0" w:val="nil"/>
        <w:between w:space="0" w:sz="0" w:val="nil"/>
      </w:pBdr>
      <w:tabs>
        <w:tab w:val="center" w:leader="none" w:pos="4819"/>
        <w:tab w:val="right" w:leader="none" w:pos="9638"/>
      </w:tabs>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jc w:val="both"/>
      <w:rPr>
        <w:rFonts w:ascii="Calibri" w:cs="Calibri" w:eastAsia="Calibri" w:hAnsi="Calibri"/>
        <w:color w:val="000000"/>
        <w:sz w:val="16"/>
        <w:szCs w:val="16"/>
      </w:rPr>
    </w:pPr>
    <w:r w:rsidDel="00000000" w:rsidR="00000000" w:rsidRPr="00000000">
      <w:rPr>
        <w:rFonts w:ascii="Calibri" w:cs="Calibri" w:eastAsia="Calibri" w:hAnsi="Calibri"/>
        <w:b w:val="1"/>
        <w:sz w:val="16"/>
        <w:szCs w:val="16"/>
        <w:rtl w:val="0"/>
      </w:rPr>
      <w:t xml:space="preserve">Tasso di clearance</w:t>
    </w:r>
    <w:r w:rsidDel="00000000" w:rsidR="00000000" w:rsidRPr="00000000">
      <w:rPr>
        <w:rFonts w:ascii="Calibri" w:cs="Calibri" w:eastAsia="Calibri" w:hAnsi="Calibri"/>
        <w:sz w:val="16"/>
        <w:szCs w:val="16"/>
        <w:rtl w:val="0"/>
      </w:rPr>
      <w:t xml:space="preserve">: tasso di ricambio che rapporta il numero dei procedimenti definiti al numero di procedimenti sopravvenuti e al tasso di smaltimento che collega i definiti al carico di lavoro, ovvero alla somma delle pendenze di inizio periodo e delle sopravvenienze.</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jc w:val="center"/>
      <w:rPr/>
    </w:pPr>
    <w:r w:rsidDel="00000000" w:rsidR="00000000" w:rsidRPr="00000000">
      <w:rPr/>
      <w:drawing>
        <wp:inline distB="114300" distT="114300" distL="114300" distR="114300">
          <wp:extent cx="1416848" cy="764776"/>
          <wp:effectExtent b="0" l="0" r="0" t="0"/>
          <wp:docPr id="469015400" name="image5.png"/>
          <a:graphic>
            <a:graphicData uri="http://schemas.openxmlformats.org/drawingml/2006/picture">
              <pic:pic>
                <pic:nvPicPr>
                  <pic:cNvPr id="0" name="image5.png"/>
                  <pic:cNvPicPr preferRelativeResize="0"/>
                </pic:nvPicPr>
                <pic:blipFill>
                  <a:blip r:embed="rId1"/>
                  <a:srcRect b="0" l="0" r="0" t="0"/>
                  <a:stretch>
                    <a:fillRect/>
                  </a:stretch>
                </pic:blipFill>
                <pic:spPr>
                  <a:xfrm>
                    <a:off x="0" y="0"/>
                    <a:ext cx="1416848" cy="764776"/>
                  </a:xfrm>
                  <a:prstGeom prst="rect"/>
                  <a:ln/>
                </pic:spPr>
              </pic:pic>
            </a:graphicData>
          </a:graphic>
        </wp:inline>
      </w:drawing>
    </w: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tabs>
        <w:tab w:val="center" w:leader="none" w:pos="4819"/>
        <w:tab w:val="right" w:leader="none" w:pos="9638"/>
      </w:tabs>
      <w:jc w:val="center"/>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884" w:hanging="360"/>
      </w:pPr>
      <w:rPr>
        <w:rFonts w:ascii="Noto Sans Symbols" w:cs="Noto Sans Symbols" w:eastAsia="Noto Sans Symbols" w:hAnsi="Noto Sans Symbols"/>
      </w:rPr>
    </w:lvl>
    <w:lvl w:ilvl="1">
      <w:start w:val="1"/>
      <w:numFmt w:val="bullet"/>
      <w:lvlText w:val="o"/>
      <w:lvlJc w:val="left"/>
      <w:pPr>
        <w:ind w:left="1604" w:hanging="360"/>
      </w:pPr>
      <w:rPr>
        <w:rFonts w:ascii="Courier New" w:cs="Courier New" w:eastAsia="Courier New" w:hAnsi="Courier New"/>
      </w:rPr>
    </w:lvl>
    <w:lvl w:ilvl="2">
      <w:start w:val="1"/>
      <w:numFmt w:val="bullet"/>
      <w:lvlText w:val="▪"/>
      <w:lvlJc w:val="left"/>
      <w:pPr>
        <w:ind w:left="2324" w:hanging="360"/>
      </w:pPr>
      <w:rPr>
        <w:rFonts w:ascii="Noto Sans Symbols" w:cs="Noto Sans Symbols" w:eastAsia="Noto Sans Symbols" w:hAnsi="Noto Sans Symbols"/>
      </w:rPr>
    </w:lvl>
    <w:lvl w:ilvl="3">
      <w:start w:val="1"/>
      <w:numFmt w:val="bullet"/>
      <w:lvlText w:val="●"/>
      <w:lvlJc w:val="left"/>
      <w:pPr>
        <w:ind w:left="3044" w:hanging="360"/>
      </w:pPr>
      <w:rPr>
        <w:rFonts w:ascii="Noto Sans Symbols" w:cs="Noto Sans Symbols" w:eastAsia="Noto Sans Symbols" w:hAnsi="Noto Sans Symbols"/>
      </w:rPr>
    </w:lvl>
    <w:lvl w:ilvl="4">
      <w:start w:val="1"/>
      <w:numFmt w:val="bullet"/>
      <w:lvlText w:val="o"/>
      <w:lvlJc w:val="left"/>
      <w:pPr>
        <w:ind w:left="3764" w:hanging="360"/>
      </w:pPr>
      <w:rPr>
        <w:rFonts w:ascii="Courier New" w:cs="Courier New" w:eastAsia="Courier New" w:hAnsi="Courier New"/>
      </w:rPr>
    </w:lvl>
    <w:lvl w:ilvl="5">
      <w:start w:val="1"/>
      <w:numFmt w:val="bullet"/>
      <w:lvlText w:val="▪"/>
      <w:lvlJc w:val="left"/>
      <w:pPr>
        <w:ind w:left="4484" w:hanging="360"/>
      </w:pPr>
      <w:rPr>
        <w:rFonts w:ascii="Noto Sans Symbols" w:cs="Noto Sans Symbols" w:eastAsia="Noto Sans Symbols" w:hAnsi="Noto Sans Symbols"/>
      </w:rPr>
    </w:lvl>
    <w:lvl w:ilvl="6">
      <w:start w:val="1"/>
      <w:numFmt w:val="bullet"/>
      <w:lvlText w:val="●"/>
      <w:lvlJc w:val="left"/>
      <w:pPr>
        <w:ind w:left="5204" w:hanging="360"/>
      </w:pPr>
      <w:rPr>
        <w:rFonts w:ascii="Noto Sans Symbols" w:cs="Noto Sans Symbols" w:eastAsia="Noto Sans Symbols" w:hAnsi="Noto Sans Symbols"/>
      </w:rPr>
    </w:lvl>
    <w:lvl w:ilvl="7">
      <w:start w:val="1"/>
      <w:numFmt w:val="bullet"/>
      <w:lvlText w:val="o"/>
      <w:lvlJc w:val="left"/>
      <w:pPr>
        <w:ind w:left="5924" w:hanging="360"/>
      </w:pPr>
      <w:rPr>
        <w:rFonts w:ascii="Courier New" w:cs="Courier New" w:eastAsia="Courier New" w:hAnsi="Courier New"/>
      </w:rPr>
    </w:lvl>
    <w:lvl w:ilvl="8">
      <w:start w:val="1"/>
      <w:numFmt w:val="bullet"/>
      <w:lvlText w:val="▪"/>
      <w:lvlJc w:val="left"/>
      <w:pPr>
        <w:ind w:left="6644"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0"/>
      <w:numFmt w:val="bullet"/>
      <w:lvlText w:val="-"/>
      <w:lvlJc w:val="left"/>
      <w:pPr>
        <w:ind w:left="1440" w:hanging="360"/>
      </w:pPr>
      <w:rPr>
        <w:rFonts w:ascii="Calibri" w:cs="Calibri" w:eastAsia="Calibri" w:hAnsi="Calibri"/>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259" w:lineRule="auto"/>
    </w:pPr>
    <w:rPr>
      <w:rFonts w:ascii="Calibri" w:cs="Calibri" w:eastAsia="Calibri" w:hAnsi="Calibri"/>
      <w:b w:val="1"/>
      <w:sz w:val="48"/>
      <w:szCs w:val="48"/>
    </w:rPr>
  </w:style>
  <w:style w:type="paragraph" w:styleId="Heading2">
    <w:name w:val="heading 2"/>
    <w:basedOn w:val="Normal"/>
    <w:next w:val="Normal"/>
    <w:pPr>
      <w:keepNext w:val="1"/>
      <w:keepLines w:val="1"/>
      <w:spacing w:after="80" w:before="360" w:line="259" w:lineRule="auto"/>
    </w:pPr>
    <w:rPr>
      <w:rFonts w:ascii="Calibri" w:cs="Calibri" w:eastAsia="Calibri" w:hAnsi="Calibri"/>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259" w:lineRule="auto"/>
    </w:pPr>
    <w:rPr>
      <w:rFonts w:ascii="Calibri" w:cs="Calibri" w:eastAsia="Calibri" w:hAnsi="Calibri"/>
      <w:b w:val="1"/>
      <w:sz w:val="72"/>
      <w:szCs w:val="72"/>
    </w:rPr>
  </w:style>
  <w:style w:type="paragraph" w:styleId="Normale" w:default="1">
    <w:name w:val="Normal"/>
    <w:qFormat w:val="1"/>
    <w:rsid w:val="00A66AB6"/>
  </w:style>
  <w:style w:type="paragraph" w:styleId="Titolo1">
    <w:name w:val="heading 1"/>
    <w:basedOn w:val="Normale"/>
    <w:next w:val="Normale"/>
    <w:uiPriority w:val="9"/>
    <w:qFormat w:val="1"/>
    <w:pPr>
      <w:keepNext w:val="1"/>
      <w:keepLines w:val="1"/>
      <w:spacing w:after="120" w:before="480" w:line="259" w:lineRule="auto"/>
      <w:outlineLvl w:val="0"/>
    </w:pPr>
    <w:rPr>
      <w:rFonts w:ascii="Calibri" w:cs="Calibri" w:eastAsia="Calibri" w:hAnsi="Calibri"/>
      <w:b w:val="1"/>
      <w:sz w:val="48"/>
      <w:szCs w:val="48"/>
    </w:rPr>
  </w:style>
  <w:style w:type="paragraph" w:styleId="Titolo2">
    <w:name w:val="heading 2"/>
    <w:basedOn w:val="Normale"/>
    <w:next w:val="Normale"/>
    <w:uiPriority w:val="9"/>
    <w:semiHidden w:val="1"/>
    <w:unhideWhenUsed w:val="1"/>
    <w:qFormat w:val="1"/>
    <w:pPr>
      <w:keepNext w:val="1"/>
      <w:keepLines w:val="1"/>
      <w:spacing w:after="80" w:before="360" w:line="259" w:lineRule="auto"/>
      <w:outlineLvl w:val="1"/>
    </w:pPr>
    <w:rPr>
      <w:rFonts w:ascii="Calibri" w:cs="Calibri" w:eastAsia="Calibri" w:hAnsi="Calibri"/>
      <w:b w:val="1"/>
      <w:sz w:val="36"/>
      <w:szCs w:val="36"/>
    </w:rPr>
  </w:style>
  <w:style w:type="paragraph" w:styleId="Titolo3">
    <w:name w:val="heading 3"/>
    <w:basedOn w:val="Normale"/>
    <w:next w:val="Normale"/>
    <w:uiPriority w:val="9"/>
    <w:semiHidden w:val="1"/>
    <w:unhideWhenUsed w:val="1"/>
    <w:qFormat w:val="1"/>
    <w:pPr>
      <w:keepNext w:val="1"/>
      <w:keepLines w:val="1"/>
      <w:spacing w:after="80" w:before="280"/>
      <w:outlineLvl w:val="2"/>
    </w:pPr>
    <w:rPr>
      <w:b w:val="1"/>
      <w:sz w:val="28"/>
      <w:szCs w:val="28"/>
    </w:rPr>
  </w:style>
  <w:style w:type="paragraph" w:styleId="Titolo4">
    <w:name w:val="heading 4"/>
    <w:basedOn w:val="Normale"/>
    <w:next w:val="Normale"/>
    <w:uiPriority w:val="9"/>
    <w:semiHidden w:val="1"/>
    <w:unhideWhenUsed w:val="1"/>
    <w:qFormat w:val="1"/>
    <w:pPr>
      <w:keepNext w:val="1"/>
      <w:keepLines w:val="1"/>
      <w:spacing w:after="40" w:before="240"/>
      <w:outlineLvl w:val="3"/>
    </w:pPr>
    <w:rPr>
      <w:b w:val="1"/>
    </w:rPr>
  </w:style>
  <w:style w:type="paragraph" w:styleId="Titolo5">
    <w:name w:val="heading 5"/>
    <w:basedOn w:val="Normale"/>
    <w:next w:val="Normale"/>
    <w:uiPriority w:val="9"/>
    <w:semiHidden w:val="1"/>
    <w:unhideWhenUsed w:val="1"/>
    <w:qFormat w:val="1"/>
    <w:pPr>
      <w:keepNext w:val="1"/>
      <w:keepLines w:val="1"/>
      <w:spacing w:after="40" w:before="220"/>
      <w:outlineLvl w:val="4"/>
    </w:pPr>
    <w:rPr>
      <w:b w:val="1"/>
    </w:rPr>
  </w:style>
  <w:style w:type="paragraph" w:styleId="Titolo6">
    <w:name w:val="heading 6"/>
    <w:basedOn w:val="Normale"/>
    <w:next w:val="Normale"/>
    <w:uiPriority w:val="9"/>
    <w:semiHidden w:val="1"/>
    <w:unhideWhenUsed w:val="1"/>
    <w:qFormat w:val="1"/>
    <w:pPr>
      <w:keepNext w:val="1"/>
      <w:keepLines w:val="1"/>
      <w:spacing w:after="40" w:before="200"/>
      <w:outlineLvl w:val="5"/>
    </w:pPr>
    <w:rPr>
      <w:b w:val="1"/>
      <w:sz w:val="20"/>
      <w:szCs w:val="20"/>
    </w:rPr>
  </w:style>
  <w:style w:type="character" w:styleId="Carpredefinitoparagrafo" w:default="1">
    <w:name w:val="Default Paragraph Font"/>
    <w:uiPriority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itolo">
    <w:name w:val="Title"/>
    <w:basedOn w:val="Normale"/>
    <w:next w:val="Normale"/>
    <w:uiPriority w:val="10"/>
    <w:qFormat w:val="1"/>
    <w:pPr>
      <w:keepNext w:val="1"/>
      <w:keepLines w:val="1"/>
      <w:spacing w:after="120" w:before="480" w:line="259" w:lineRule="auto"/>
    </w:pPr>
    <w:rPr>
      <w:rFonts w:ascii="Calibri" w:cs="Calibri" w:eastAsia="Calibri" w:hAnsi="Calibri"/>
      <w:b w:val="1"/>
      <w:sz w:val="72"/>
      <w:szCs w:val="72"/>
    </w:r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table" w:styleId="TableNormal3" w:customStyle="1">
    <w:name w:val="Table Normal"/>
    <w:tblPr>
      <w:tblCellMar>
        <w:top w:w="0.0" w:type="dxa"/>
        <w:left w:w="0.0" w:type="dxa"/>
        <w:bottom w:w="0.0" w:type="dxa"/>
        <w:right w:w="0.0" w:type="dxa"/>
      </w:tblCellMar>
    </w:tblPr>
  </w:style>
  <w:style w:type="table" w:styleId="TableNormal10" w:customStyle="1">
    <w:name w:val="Table Normal1"/>
    <w:tblPr>
      <w:tblCellMar>
        <w:top w:w="0.0" w:type="dxa"/>
        <w:left w:w="0.0" w:type="dxa"/>
        <w:bottom w:w="0.0" w:type="dxa"/>
        <w:right w:w="0.0" w:type="dxa"/>
      </w:tblCellMar>
    </w:tblPr>
  </w:style>
  <w:style w:type="table" w:styleId="TableNormal20" w:customStyle="1">
    <w:name w:val="Table Normal2"/>
    <w:tblPr>
      <w:tblCellMar>
        <w:top w:w="0.0" w:type="dxa"/>
        <w:left w:w="0.0" w:type="dxa"/>
        <w:bottom w:w="0.0" w:type="dxa"/>
        <w:right w:w="0.0" w:type="dxa"/>
      </w:tblCellMar>
    </w:tblPr>
  </w:style>
  <w:style w:type="paragraph" w:styleId="Intestazione">
    <w:name w:val="header"/>
    <w:basedOn w:val="Normale"/>
    <w:link w:val="IntestazioneCarattere"/>
    <w:uiPriority w:val="99"/>
    <w:unhideWhenUsed w:val="1"/>
    <w:rsid w:val="00D26CAC"/>
    <w:pPr>
      <w:tabs>
        <w:tab w:val="center" w:pos="4819"/>
        <w:tab w:val="right" w:pos="9638"/>
      </w:tabs>
    </w:pPr>
    <w:rPr>
      <w:rFonts w:ascii="Calibri" w:cs="Calibri" w:eastAsia="Calibri" w:hAnsi="Calibri"/>
      <w:sz w:val="22"/>
      <w:szCs w:val="22"/>
    </w:rPr>
  </w:style>
  <w:style w:type="character" w:styleId="IntestazioneCarattere" w:customStyle="1">
    <w:name w:val="Intestazione Carattere"/>
    <w:basedOn w:val="Carpredefinitoparagrafo"/>
    <w:link w:val="Intestazione"/>
    <w:uiPriority w:val="99"/>
    <w:rsid w:val="00D26CAC"/>
  </w:style>
  <w:style w:type="paragraph" w:styleId="Pidipagina">
    <w:name w:val="footer"/>
    <w:basedOn w:val="Normale"/>
    <w:link w:val="PidipaginaCarattere"/>
    <w:uiPriority w:val="99"/>
    <w:unhideWhenUsed w:val="1"/>
    <w:rsid w:val="00D26CAC"/>
    <w:pPr>
      <w:tabs>
        <w:tab w:val="center" w:pos="4819"/>
        <w:tab w:val="right" w:pos="9638"/>
      </w:tabs>
    </w:pPr>
    <w:rPr>
      <w:rFonts w:ascii="Calibri" w:cs="Calibri" w:eastAsia="Calibri" w:hAnsi="Calibri"/>
      <w:sz w:val="22"/>
      <w:szCs w:val="22"/>
    </w:rPr>
  </w:style>
  <w:style w:type="character" w:styleId="PidipaginaCarattere" w:customStyle="1">
    <w:name w:val="Piè di pagina Carattere"/>
    <w:basedOn w:val="Carpredefinitoparagrafo"/>
    <w:link w:val="Pidipagina"/>
    <w:uiPriority w:val="99"/>
    <w:rsid w:val="00D26CAC"/>
  </w:style>
  <w:style w:type="character" w:styleId="Collegamentoipertestuale">
    <w:name w:val="Hyperlink"/>
    <w:basedOn w:val="Carpredefinitoparagrafo"/>
    <w:uiPriority w:val="99"/>
    <w:unhideWhenUsed w:val="1"/>
    <w:rsid w:val="00BD5A1A"/>
    <w:rPr>
      <w:color w:val="0563c1" w:themeColor="hyperlink"/>
      <w:u w:val="single"/>
    </w:rPr>
  </w:style>
  <w:style w:type="paragraph" w:styleId="Testonormale">
    <w:name w:val="Plain Text"/>
    <w:basedOn w:val="Normale"/>
    <w:link w:val="TestonormaleCarattere"/>
    <w:uiPriority w:val="99"/>
    <w:unhideWhenUsed w:val="1"/>
    <w:rsid w:val="00BD5A1A"/>
    <w:rPr>
      <w:rFonts w:ascii="Consolas" w:hAnsi="Consolas" w:eastAsiaTheme="minorEastAsia"/>
      <w:sz w:val="21"/>
      <w:szCs w:val="21"/>
    </w:rPr>
  </w:style>
  <w:style w:type="character" w:styleId="TestonormaleCarattere" w:customStyle="1">
    <w:name w:val="Testo normale Carattere"/>
    <w:basedOn w:val="Carpredefinitoparagrafo"/>
    <w:link w:val="Testonormale"/>
    <w:uiPriority w:val="99"/>
    <w:rsid w:val="00BD5A1A"/>
    <w:rPr>
      <w:rFonts w:ascii="Consolas" w:cs="Times New Roman" w:hAnsi="Consolas" w:eastAsiaTheme="minorEastAsia"/>
      <w:sz w:val="21"/>
      <w:szCs w:val="21"/>
      <w:lang w:eastAsia="it-IT"/>
    </w:rPr>
  </w:style>
  <w:style w:type="character" w:styleId="Menzionenonrisolta">
    <w:name w:val="Unresolved Mention"/>
    <w:basedOn w:val="Carpredefinitoparagrafo"/>
    <w:uiPriority w:val="99"/>
    <w:semiHidden w:val="1"/>
    <w:unhideWhenUsed w:val="1"/>
    <w:rsid w:val="00BD5A1A"/>
    <w:rPr>
      <w:color w:val="605e5c"/>
      <w:shd w:color="auto" w:fill="e1dfdd" w:val="clear"/>
    </w:rPr>
  </w:style>
  <w:style w:type="paragraph" w:styleId="NormaleWeb">
    <w:name w:val="Normal (Web)"/>
    <w:basedOn w:val="Normale"/>
    <w:uiPriority w:val="99"/>
    <w:unhideWhenUsed w:val="1"/>
    <w:rsid w:val="00E32702"/>
    <w:pPr>
      <w:spacing w:after="100" w:afterAutospacing="1" w:before="100" w:beforeAutospacing="1"/>
    </w:pPr>
  </w:style>
  <w:style w:type="paragraph" w:styleId="Sottotitolo">
    <w:name w:val="Subtitle"/>
    <w:basedOn w:val="Normale"/>
    <w:next w:val="Normale"/>
    <w:uiPriority w:val="11"/>
    <w:qFormat w:val="1"/>
    <w:pPr>
      <w:keepNext w:val="1"/>
      <w:keepLines w:val="1"/>
      <w:pBdr>
        <w:top w:space="0" w:sz="0" w:val="nil"/>
        <w:left w:space="0" w:sz="0" w:val="nil"/>
        <w:bottom w:space="0" w:sz="0" w:val="nil"/>
        <w:right w:space="0" w:sz="0" w:val="nil"/>
        <w:between w:space="0" w:sz="0" w:val="nil"/>
      </w:pBdr>
      <w:spacing w:after="80" w:before="360" w:line="259" w:lineRule="auto"/>
    </w:pPr>
    <w:rPr>
      <w:rFonts w:ascii="Georgia" w:cs="Georgia" w:eastAsia="Georgia" w:hAnsi="Georgia"/>
      <w:i w:val="1"/>
      <w:color w:val="666666"/>
      <w:sz w:val="48"/>
      <w:szCs w:val="48"/>
    </w:rPr>
  </w:style>
  <w:style w:type="character" w:styleId="il" w:customStyle="1">
    <w:name w:val="il"/>
    <w:basedOn w:val="Carpredefinitoparagrafo"/>
    <w:rsid w:val="009F5154"/>
  </w:style>
  <w:style w:type="character" w:styleId="Enfasigrassetto">
    <w:name w:val="Strong"/>
    <w:basedOn w:val="Carpredefinitoparagrafo"/>
    <w:uiPriority w:val="22"/>
    <w:qFormat w:val="1"/>
    <w:rsid w:val="00417182"/>
    <w:rPr>
      <w:b w:val="1"/>
      <w:bCs w:val="1"/>
    </w:rPr>
  </w:style>
  <w:style w:type="paragraph" w:styleId="Revisione">
    <w:name w:val="Revision"/>
    <w:hidden w:val="1"/>
    <w:uiPriority w:val="99"/>
    <w:semiHidden w:val="1"/>
    <w:rsid w:val="008879D9"/>
  </w:style>
  <w:style w:type="paragraph" w:styleId="Paragrafoelenco">
    <w:name w:val="List Paragraph"/>
    <w:basedOn w:val="Normale"/>
    <w:uiPriority w:val="34"/>
    <w:qFormat w:val="1"/>
    <w:rsid w:val="00B01EF3"/>
    <w:pPr>
      <w:ind w:left="720"/>
      <w:contextualSpacing w:val="1"/>
    </w:pPr>
  </w:style>
  <w:style w:type="character" w:styleId="apple-converted-space" w:customStyle="1">
    <w:name w:val="apple-converted-space"/>
    <w:basedOn w:val="Carpredefinitoparagrafo"/>
    <w:rsid w:val="000E61F2"/>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after="80" w:before="360" w:line="259"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0" Type="http://schemas.openxmlformats.org/officeDocument/2006/relationships/image" Target="media/image4.png"/><Relationship Id="rId13" Type="http://schemas.openxmlformats.org/officeDocument/2006/relationships/footer" Target="foot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about:blank" TargetMode="External"/><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Teko-regular.ttf"/><Relationship Id="rId2" Type="http://schemas.openxmlformats.org/officeDocument/2006/relationships/font" Target="fonts/Teko-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WPFVU0x7EGVvcWb+rCR8wLLMfw==">CgMxLjA4AHIhMVhCalNEdU1wbXdkd2s3amRFN3c5ZFQydHZfai05M1d2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2025-01-20T11:49:00Z</dcterms:created>
  <dc:creator>Giacomo</dc:creator>
</cp:coreProperties>
</file>